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676D2">
        <w:rPr>
          <w:rFonts w:asciiTheme="minorHAnsi" w:hAnsiTheme="minorHAnsi" w:cs="Arial"/>
          <w:b/>
          <w:sz w:val="22"/>
          <w:szCs w:val="22"/>
        </w:rPr>
        <w:t>4</w:t>
      </w:r>
      <w:r w:rsidR="006927C4">
        <w:rPr>
          <w:rFonts w:asciiTheme="minorHAnsi" w:hAnsiTheme="minorHAnsi" w:cs="Arial"/>
          <w:b/>
          <w:sz w:val="22"/>
          <w:szCs w:val="22"/>
        </w:rPr>
        <w:t>52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927C4">
        <w:rPr>
          <w:rFonts w:asciiTheme="minorHAnsi" w:hAnsiTheme="minorHAnsi" w:cs="Arial"/>
          <w:sz w:val="22"/>
          <w:szCs w:val="22"/>
        </w:rPr>
        <w:t>29/01</w:t>
      </w:r>
      <w:r w:rsidR="000676D2">
        <w:rPr>
          <w:rFonts w:asciiTheme="minorHAnsi" w:hAnsiTheme="minorHAnsi" w:cs="Arial"/>
          <w:sz w:val="22"/>
          <w:szCs w:val="22"/>
        </w:rPr>
        <w:t>/201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2D1B2C">
        <w:rPr>
          <w:rFonts w:asciiTheme="minorHAnsi" w:hAnsiTheme="minorHAnsi" w:cs="Arial"/>
          <w:sz w:val="22"/>
          <w:szCs w:val="22"/>
        </w:rPr>
        <w:t xml:space="preserve">Sra. </w:t>
      </w:r>
      <w:r w:rsidR="006927C4">
        <w:rPr>
          <w:rFonts w:asciiTheme="minorHAnsi" w:hAnsiTheme="minorHAnsi" w:cs="Arial"/>
          <w:sz w:val="22"/>
          <w:szCs w:val="22"/>
        </w:rPr>
        <w:t>Roberto Kamisague Vera.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0A5734">
        <w:rPr>
          <w:rFonts w:asciiTheme="minorHAnsi" w:hAnsiTheme="minorHAnsi" w:cs="Arial"/>
          <w:b/>
          <w:sz w:val="22"/>
          <w:szCs w:val="22"/>
        </w:rPr>
        <w:t>01</w:t>
      </w:r>
      <w:r w:rsidR="000676D2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0A5734">
        <w:rPr>
          <w:rFonts w:asciiTheme="minorHAnsi" w:hAnsiTheme="minorHAnsi" w:cs="Arial"/>
          <w:b/>
          <w:sz w:val="22"/>
          <w:szCs w:val="22"/>
        </w:rPr>
        <w:t>febr</w:t>
      </w:r>
      <w:r w:rsidR="000676D2">
        <w:rPr>
          <w:rFonts w:asciiTheme="minorHAnsi" w:hAnsiTheme="minorHAnsi" w:cs="Arial"/>
          <w:b/>
          <w:sz w:val="22"/>
          <w:szCs w:val="22"/>
        </w:rPr>
        <w:t>ero de 2018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0A5734">
        <w:rPr>
          <w:rFonts w:asciiTheme="minorHAnsi" w:hAnsiTheme="minorHAnsi" w:cs="Arial"/>
          <w:sz w:val="22"/>
          <w:szCs w:val="22"/>
        </w:rPr>
        <w:t>29/01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676D2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676D2">
        <w:rPr>
          <w:rFonts w:asciiTheme="minorHAnsi" w:hAnsiTheme="minorHAnsi" w:cs="Arial"/>
          <w:b/>
          <w:sz w:val="22"/>
          <w:szCs w:val="22"/>
        </w:rPr>
        <w:t>0000</w:t>
      </w:r>
      <w:r w:rsidR="000676D2">
        <w:rPr>
          <w:rFonts w:asciiTheme="minorHAnsi" w:hAnsiTheme="minorHAnsi" w:cs="Arial"/>
          <w:b/>
          <w:sz w:val="22"/>
          <w:szCs w:val="22"/>
        </w:rPr>
        <w:t>4</w:t>
      </w:r>
      <w:r w:rsidR="000A5734">
        <w:rPr>
          <w:rFonts w:asciiTheme="minorHAnsi" w:hAnsiTheme="minorHAnsi" w:cs="Arial"/>
          <w:b/>
          <w:sz w:val="22"/>
          <w:szCs w:val="22"/>
        </w:rPr>
        <w:t>52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Default="000676D2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676D2" w:rsidRPr="006927C4" w:rsidRDefault="004030E4" w:rsidP="006927C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Necesito información mas específica de la Srta Bernardita Yáñez Azocar, ella</w:t>
      </w:r>
      <w:r w:rsid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actualmente trabaja como profesional en el programa Pie, del liceo Manuel de</w:t>
      </w:r>
      <w:r w:rsid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Salas de la Comuna de Casablanca, se me informo que desde marzo del 2017.</w:t>
      </w:r>
      <w:r w:rsid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ella se encuentra en proceso de entrega de su título profesional, necesito algún</w:t>
      </w:r>
      <w:r w:rsid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certificado en el cual ella esté autorizada y habilitada por el Ministerio de</w:t>
      </w:r>
      <w:r w:rsid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927C4"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Educación para desempeñarse como profesional del área Pie.</w:t>
      </w:r>
      <w:r w:rsidRPr="006927C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030E4" w:rsidRPr="006927C4" w:rsidRDefault="004030E4" w:rsidP="006927C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030E4" w:rsidRPr="000676D2" w:rsidRDefault="004030E4" w:rsidP="004030E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0A57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095</w:t>
      </w:r>
      <w:r w:rsidR="000676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0A57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4030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0A57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0A5734">
        <w:rPr>
          <w:rFonts w:asciiTheme="minorHAnsi" w:hAnsiTheme="minorHAnsi" w:cs="Arial"/>
          <w:sz w:val="22"/>
          <w:szCs w:val="22"/>
        </w:rPr>
        <w:t>don Roberto Kamisague Vera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0A5734">
        <w:rPr>
          <w:rFonts w:asciiTheme="minorHAnsi" w:hAnsiTheme="minorHAnsi" w:cs="Arial"/>
          <w:sz w:val="22"/>
          <w:szCs w:val="22"/>
        </w:rPr>
        <w:t>don Roberto Kamisague Vera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0A573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ALFONSO BARROS DIEZ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="000A5734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A5734">
        <w:rPr>
          <w:rFonts w:asciiTheme="minorHAnsi" w:hAnsiTheme="minorHAnsi" w:cs="Arial"/>
          <w:sz w:val="22"/>
          <w:szCs w:val="22"/>
        </w:rPr>
        <w:t>Sr. Roberto Kamisague Vera</w:t>
      </w:r>
      <w:r w:rsidR="00A80279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0A57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41" w:rsidRDefault="00844B41" w:rsidP="00566808">
      <w:r>
        <w:separator/>
      </w:r>
    </w:p>
  </w:endnote>
  <w:endnote w:type="continuationSeparator" w:id="1">
    <w:p w:rsidR="00844B41" w:rsidRDefault="00844B4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2B65EF" w:rsidP="00566808">
    <w:pPr>
      <w:pStyle w:val="Piedepgina"/>
      <w:ind w:left="-142"/>
      <w:jc w:val="right"/>
      <w:rPr>
        <w:sz w:val="18"/>
        <w:szCs w:val="18"/>
      </w:rPr>
    </w:pPr>
    <w:r w:rsidRPr="002B65EF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41" w:rsidRDefault="00844B41" w:rsidP="00566808">
      <w:r>
        <w:separator/>
      </w:r>
    </w:p>
  </w:footnote>
  <w:footnote w:type="continuationSeparator" w:id="1">
    <w:p w:rsidR="00844B41" w:rsidRDefault="00844B4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676D2"/>
    <w:rsid w:val="00077AA8"/>
    <w:rsid w:val="00083E2E"/>
    <w:rsid w:val="00090D8E"/>
    <w:rsid w:val="000A5734"/>
    <w:rsid w:val="000A79D2"/>
    <w:rsid w:val="000B3C40"/>
    <w:rsid w:val="000B7F62"/>
    <w:rsid w:val="000D051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17AC7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5EF"/>
    <w:rsid w:val="002B6B84"/>
    <w:rsid w:val="002C3330"/>
    <w:rsid w:val="002D1B2C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3F3F87"/>
    <w:rsid w:val="004030E4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4C71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5F7EE9"/>
    <w:rsid w:val="0060099B"/>
    <w:rsid w:val="00607BB1"/>
    <w:rsid w:val="0062045A"/>
    <w:rsid w:val="0062567B"/>
    <w:rsid w:val="00632106"/>
    <w:rsid w:val="0063751D"/>
    <w:rsid w:val="00655BC0"/>
    <w:rsid w:val="00656E81"/>
    <w:rsid w:val="00660F44"/>
    <w:rsid w:val="00662BF6"/>
    <w:rsid w:val="006907C9"/>
    <w:rsid w:val="00690F48"/>
    <w:rsid w:val="006927C4"/>
    <w:rsid w:val="006937D6"/>
    <w:rsid w:val="006A7622"/>
    <w:rsid w:val="006C2259"/>
    <w:rsid w:val="006C70F3"/>
    <w:rsid w:val="006E221C"/>
    <w:rsid w:val="006E41F2"/>
    <w:rsid w:val="006E6644"/>
    <w:rsid w:val="006E722B"/>
    <w:rsid w:val="00703A45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81082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4B41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617C4"/>
    <w:rsid w:val="00974FD6"/>
    <w:rsid w:val="0098014B"/>
    <w:rsid w:val="00985B94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647EB"/>
    <w:rsid w:val="00A80279"/>
    <w:rsid w:val="00A955A6"/>
    <w:rsid w:val="00AA03F4"/>
    <w:rsid w:val="00AD6B2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BD2758"/>
    <w:rsid w:val="00C134E4"/>
    <w:rsid w:val="00C162AD"/>
    <w:rsid w:val="00C325C4"/>
    <w:rsid w:val="00C3602F"/>
    <w:rsid w:val="00C4647D"/>
    <w:rsid w:val="00C60F1C"/>
    <w:rsid w:val="00C62403"/>
    <w:rsid w:val="00C628C6"/>
    <w:rsid w:val="00C72478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74581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2018-02-01T19:56:00Z</cp:lastPrinted>
  <dcterms:created xsi:type="dcterms:W3CDTF">2018-02-01T19:57:00Z</dcterms:created>
  <dcterms:modified xsi:type="dcterms:W3CDTF">2018-02-01T19:57:00Z</dcterms:modified>
</cp:coreProperties>
</file>